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D5" w:rsidRPr="00B90A0F" w:rsidRDefault="00CA36D5" w:rsidP="000B0CDD">
      <w:pPr>
        <w:spacing w:before="200" w:after="100" w:line="240" w:lineRule="auto"/>
        <w:outlineLvl w:val="1"/>
        <w:rPr>
          <w:rFonts w:eastAsia="Times New Roman"/>
          <w:smallCaps/>
          <w:sz w:val="20"/>
          <w:szCs w:val="20"/>
        </w:rPr>
      </w:pPr>
      <w:bookmarkStart w:id="0" w:name="_top"/>
      <w:bookmarkEnd w:id="0"/>
      <w:r w:rsidRPr="00B90A0F">
        <w:rPr>
          <w:rFonts w:eastAsia="Times New Roman"/>
          <w:smallCaps/>
          <w:sz w:val="20"/>
          <w:szCs w:val="20"/>
        </w:rPr>
        <w:t>Appendix II to Part 200—Contract Provisions for Non-Federal Entity Contracts Under Federal Awards</w:t>
      </w:r>
    </w:p>
    <w:p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In addition to other provisions required by the Federal agency or non-Federal entity, all contracts made by the non-Federal entity under the Federal award must contain provisions covering the following, as applicable.</w:t>
      </w:r>
    </w:p>
    <w:p w:rsidR="008E1FEC"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(B) All contracts in excess of $10,000 must address termination for cause and for convenience by the non-Federal entity including the manner by which it will be effected and the basis for settlement.</w:t>
      </w:r>
    </w:p>
    <w:p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 xml:space="preserve">(D)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w:t>
      </w:r>
      <w:proofErr w:type="spellStart"/>
      <w:r w:rsidRPr="00B90A0F">
        <w:rPr>
          <w:rFonts w:eastAsia="Times New Roman"/>
          <w:sz w:val="20"/>
          <w:szCs w:val="20"/>
        </w:rPr>
        <w:t>subrecipient</w:t>
      </w:r>
      <w:proofErr w:type="spellEnd"/>
      <w:r w:rsidRPr="00B90A0F">
        <w:rPr>
          <w:rFonts w:eastAsia="Times New Roman"/>
          <w:sz w:val="20"/>
          <w:szCs w:val="20"/>
        </w:rPr>
        <w:t xml:space="preserve">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Pr="00886213">
        <w:rPr>
          <w:rFonts w:eastAsia="Times New Roman"/>
          <w:color w:val="000000" w:themeColor="text1"/>
          <w:sz w:val="20"/>
          <w:szCs w:val="20"/>
        </w:rPr>
        <w:t>.</w:t>
      </w:r>
      <w:r w:rsidR="00542A1E" w:rsidRPr="00886213">
        <w:rPr>
          <w:rFonts w:eastAsia="Times New Roman"/>
          <w:color w:val="000000" w:themeColor="text1"/>
          <w:sz w:val="20"/>
          <w:szCs w:val="20"/>
        </w:rPr>
        <w:t xml:space="preserve"> </w:t>
      </w:r>
      <w:r w:rsidR="00542A1E" w:rsidRPr="00886213">
        <w:rPr>
          <w:rFonts w:eastAsia="Times New Roman"/>
          <w:i/>
          <w:color w:val="000000" w:themeColor="text1"/>
          <w:sz w:val="20"/>
          <w:szCs w:val="20"/>
        </w:rPr>
        <w:t>**</w:t>
      </w:r>
      <w:r w:rsidR="00886213" w:rsidRPr="00886213">
        <w:rPr>
          <w:i/>
          <w:color w:val="000000" w:themeColor="text1"/>
          <w:sz w:val="20"/>
          <w:szCs w:val="20"/>
        </w:rPr>
        <w:t>The Davis-Bacon Act does not apply to pass-through entity (</w:t>
      </w:r>
      <w:proofErr w:type="spellStart"/>
      <w:r w:rsidR="00886213" w:rsidRPr="00886213">
        <w:rPr>
          <w:i/>
          <w:color w:val="000000" w:themeColor="text1"/>
          <w:sz w:val="20"/>
          <w:szCs w:val="20"/>
        </w:rPr>
        <w:t>subapplicants</w:t>
      </w:r>
      <w:proofErr w:type="spellEnd"/>
      <w:r w:rsidR="00886213" w:rsidRPr="00886213">
        <w:rPr>
          <w:i/>
          <w:color w:val="000000" w:themeColor="text1"/>
          <w:sz w:val="20"/>
          <w:szCs w:val="20"/>
        </w:rPr>
        <w:t xml:space="preserve">) contracted work.  However, if paying prevailing wages is included in the entity’s Procurement Policy, it may be </w:t>
      </w:r>
      <w:bookmarkStart w:id="1" w:name="_GoBack"/>
      <w:bookmarkEnd w:id="1"/>
      <w:r w:rsidR="00886213" w:rsidRPr="00886213">
        <w:rPr>
          <w:i/>
          <w:color w:val="000000" w:themeColor="text1"/>
          <w:sz w:val="20"/>
          <w:szCs w:val="20"/>
        </w:rPr>
        <w:t>required</w:t>
      </w:r>
      <w:proofErr w:type="gramStart"/>
      <w:r w:rsidR="00886213" w:rsidRPr="00886213">
        <w:rPr>
          <w:i/>
          <w:color w:val="000000" w:themeColor="text1"/>
          <w:sz w:val="20"/>
          <w:szCs w:val="20"/>
        </w:rPr>
        <w:t>.</w:t>
      </w:r>
      <w:r w:rsidR="00542A1E" w:rsidRPr="00886213">
        <w:rPr>
          <w:rFonts w:eastAsia="Times New Roman"/>
          <w:i/>
          <w:color w:val="000000" w:themeColor="text1"/>
          <w:sz w:val="20"/>
          <w:szCs w:val="20"/>
        </w:rPr>
        <w:t>*</w:t>
      </w:r>
      <w:proofErr w:type="gramEnd"/>
      <w:r w:rsidR="00542A1E" w:rsidRPr="00886213">
        <w:rPr>
          <w:rFonts w:eastAsia="Times New Roman"/>
          <w:i/>
          <w:color w:val="000000" w:themeColor="text1"/>
          <w:sz w:val="20"/>
          <w:szCs w:val="20"/>
        </w:rPr>
        <w:t>*</w:t>
      </w:r>
    </w:p>
    <w:p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lastRenderedPageBreak/>
        <w:t xml:space="preserve">(F) Rights to Inventions Made Under a Contract or Agreement. If the Federal award meets the definition of “funding agreement” under 37 CFR §401.2 (a) and the recipient or </w:t>
      </w:r>
      <w:proofErr w:type="spellStart"/>
      <w:r w:rsidRPr="00B90A0F">
        <w:rPr>
          <w:rFonts w:eastAsia="Times New Roman"/>
          <w:sz w:val="20"/>
          <w:szCs w:val="20"/>
        </w:rPr>
        <w:t>subrecipient</w:t>
      </w:r>
      <w:proofErr w:type="spellEnd"/>
      <w:r w:rsidRPr="00B90A0F">
        <w:rPr>
          <w:rFonts w:eastAsia="Times New Roman"/>
          <w:sz w:val="20"/>
          <w:szCs w:val="20"/>
        </w:rPr>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Pr="00B90A0F">
        <w:rPr>
          <w:rFonts w:eastAsia="Times New Roman"/>
          <w:sz w:val="20"/>
          <w:szCs w:val="20"/>
        </w:rPr>
        <w:t>subrecipient</w:t>
      </w:r>
      <w:proofErr w:type="spellEnd"/>
      <w:r w:rsidRPr="00B90A0F">
        <w:rPr>
          <w:rFonts w:eastAsia="Times New Roman"/>
          <w:sz w:val="20"/>
          <w:szCs w:val="20"/>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 xml:space="preserve">(G) Clean Air Act (42 U.S.C. 7401-7671q.) and the Federal Water Pollution Control Act (33 U.S.C. 1251-1387), as amended—Contracts and </w:t>
      </w:r>
      <w:proofErr w:type="spellStart"/>
      <w:r w:rsidRPr="00B90A0F">
        <w:rPr>
          <w:rFonts w:eastAsia="Times New Roman"/>
          <w:sz w:val="20"/>
          <w:szCs w:val="20"/>
        </w:rPr>
        <w:t>subgrants</w:t>
      </w:r>
      <w:proofErr w:type="spellEnd"/>
      <w:r w:rsidRPr="00B90A0F">
        <w:rPr>
          <w:rFonts w:eastAsia="Times New Roman"/>
          <w:sz w:val="20"/>
          <w:szCs w:val="20"/>
        </w:rPr>
        <w:t xml:space="preserve">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 xml:space="preserve">(H) Debarment and Suspension (Executive Orders 12549 and 12689)—A contract award (see 2 CFR 180.220) must not be made to parties listed on the </w:t>
      </w:r>
      <w:proofErr w:type="spellStart"/>
      <w:r w:rsidRPr="00B90A0F">
        <w:rPr>
          <w:rFonts w:eastAsia="Times New Roman"/>
          <w:sz w:val="20"/>
          <w:szCs w:val="20"/>
        </w:rPr>
        <w:t>governmentwide</w:t>
      </w:r>
      <w:proofErr w:type="spellEnd"/>
      <w:r w:rsidRPr="00B90A0F">
        <w:rPr>
          <w:rFonts w:eastAsia="Times New Roman"/>
          <w:sz w:val="20"/>
          <w:szCs w:val="20"/>
        </w:rPr>
        <w:t xml:space="preserv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 xml:space="preserve">(I)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B90A0F">
        <w:rPr>
          <w:rFonts w:eastAsia="Times New Roman"/>
          <w:sz w:val="20"/>
          <w:szCs w:val="20"/>
        </w:rPr>
        <w:t>tier</w:t>
      </w:r>
      <w:proofErr w:type="spellEnd"/>
      <w:r w:rsidRPr="00B90A0F">
        <w:rPr>
          <w:rFonts w:eastAsia="Times New Roman"/>
          <w:sz w:val="20"/>
          <w:szCs w:val="20"/>
        </w:rPr>
        <w:t xml:space="preserve"> up to the non-Federal award.</w:t>
      </w:r>
    </w:p>
    <w:p w:rsidR="00CA36D5" w:rsidRPr="00B90A0F" w:rsidRDefault="00CA36D5" w:rsidP="000B0CDD">
      <w:pPr>
        <w:spacing w:before="100" w:beforeAutospacing="1" w:after="100" w:afterAutospacing="1" w:line="240" w:lineRule="auto"/>
        <w:ind w:firstLine="480"/>
        <w:rPr>
          <w:rFonts w:eastAsia="Times New Roman"/>
          <w:sz w:val="20"/>
          <w:szCs w:val="20"/>
        </w:rPr>
      </w:pPr>
      <w:r w:rsidRPr="00B90A0F">
        <w:rPr>
          <w:rFonts w:eastAsia="Times New Roman"/>
          <w:sz w:val="20"/>
          <w:szCs w:val="20"/>
        </w:rPr>
        <w:t>(J) See §200.322 Procurement of recovered materials.</w:t>
      </w:r>
    </w:p>
    <w:p w:rsidR="00CA36D5" w:rsidRPr="00B90A0F" w:rsidRDefault="00CA36D5" w:rsidP="000B0CDD">
      <w:pPr>
        <w:spacing w:before="200" w:after="100" w:afterAutospacing="1" w:line="240" w:lineRule="auto"/>
        <w:rPr>
          <w:rFonts w:eastAsia="Times New Roman"/>
          <w:sz w:val="20"/>
          <w:szCs w:val="20"/>
        </w:rPr>
      </w:pPr>
      <w:r w:rsidRPr="00B90A0F">
        <w:rPr>
          <w:rFonts w:eastAsia="Times New Roman"/>
          <w:sz w:val="20"/>
          <w:szCs w:val="20"/>
        </w:rPr>
        <w:t>[78 FR 78608, Dec. 26, 2013, as amended at 79 FR 75888, Dec. 19, 2014</w:t>
      </w:r>
    </w:p>
    <w:p w:rsidR="00153D36" w:rsidRPr="00B90A0F" w:rsidRDefault="00153D36" w:rsidP="000B0CDD">
      <w:pPr>
        <w:rPr>
          <w:sz w:val="20"/>
          <w:szCs w:val="20"/>
        </w:rPr>
      </w:pPr>
    </w:p>
    <w:sectPr w:rsidR="00153D36" w:rsidRPr="00B90A0F" w:rsidSect="0015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2"/>
  </w:compat>
  <w:rsids>
    <w:rsidRoot w:val="00CA36D5"/>
    <w:rsid w:val="00046567"/>
    <w:rsid w:val="000B0CDD"/>
    <w:rsid w:val="00123C79"/>
    <w:rsid w:val="00153D36"/>
    <w:rsid w:val="00210716"/>
    <w:rsid w:val="00542A1E"/>
    <w:rsid w:val="00616CDC"/>
    <w:rsid w:val="006B0B38"/>
    <w:rsid w:val="00833582"/>
    <w:rsid w:val="00844251"/>
    <w:rsid w:val="00886213"/>
    <w:rsid w:val="008E1FEC"/>
    <w:rsid w:val="00B3676C"/>
    <w:rsid w:val="00B90A0F"/>
    <w:rsid w:val="00CA36D5"/>
    <w:rsid w:val="00D07849"/>
    <w:rsid w:val="00D13E7D"/>
    <w:rsid w:val="00E65C11"/>
    <w:rsid w:val="00FC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EF89"/>
  <w15:docId w15:val="{BA0B8C2C-0076-4683-B74F-953B1BEC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36"/>
  </w:style>
  <w:style w:type="paragraph" w:styleId="Heading2">
    <w:name w:val="heading 2"/>
    <w:basedOn w:val="Normal"/>
    <w:link w:val="Heading2Char"/>
    <w:uiPriority w:val="9"/>
    <w:qFormat/>
    <w:rsid w:val="00CA36D5"/>
    <w:pPr>
      <w:spacing w:before="200" w:after="100" w:line="240" w:lineRule="auto"/>
      <w:jc w:val="center"/>
      <w:outlineLvl w:val="1"/>
    </w:pPr>
    <w:rPr>
      <w:rFonts w:eastAsia="Times New Roman"/>
      <w:b/>
      <w:bCs/>
      <w:sz w:val="9"/>
      <w:szCs w:val="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6D5"/>
    <w:rPr>
      <w:rFonts w:eastAsia="Times New Roman"/>
      <w:b/>
      <w:bCs/>
      <w:sz w:val="9"/>
      <w:szCs w:val="9"/>
    </w:rPr>
  </w:style>
  <w:style w:type="paragraph" w:styleId="NormalWeb">
    <w:name w:val="Normal (Web)"/>
    <w:basedOn w:val="Normal"/>
    <w:uiPriority w:val="99"/>
    <w:semiHidden/>
    <w:unhideWhenUsed/>
    <w:rsid w:val="00CA36D5"/>
    <w:pPr>
      <w:spacing w:before="100" w:beforeAutospacing="1" w:after="100" w:afterAutospacing="1" w:line="240" w:lineRule="auto"/>
      <w:ind w:firstLine="480"/>
    </w:pPr>
    <w:rPr>
      <w:rFonts w:eastAsia="Times New Roman"/>
      <w:sz w:val="24"/>
      <w:szCs w:val="24"/>
    </w:rPr>
  </w:style>
  <w:style w:type="paragraph" w:customStyle="1" w:styleId="cita">
    <w:name w:val="cita"/>
    <w:basedOn w:val="Normal"/>
    <w:rsid w:val="00CA36D5"/>
    <w:pPr>
      <w:spacing w:before="200" w:after="100" w:afterAutospacing="1" w:line="240" w:lineRule="auto"/>
    </w:pPr>
    <w:rPr>
      <w:rFonts w:eastAsia="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850497">
      <w:bodyDiv w:val="1"/>
      <w:marLeft w:val="0"/>
      <w:marRight w:val="0"/>
      <w:marTop w:val="14"/>
      <w:marBottom w:val="343"/>
      <w:divBdr>
        <w:top w:val="none" w:sz="0" w:space="0" w:color="auto"/>
        <w:left w:val="none" w:sz="0" w:space="0" w:color="auto"/>
        <w:bottom w:val="none" w:sz="0" w:space="0" w:color="auto"/>
        <w:right w:val="none" w:sz="0" w:space="0" w:color="auto"/>
      </w:divBdr>
      <w:divsChild>
        <w:div w:id="66513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1134</Words>
  <Characters>6468</Characters>
  <Application>Microsoft Office Word</Application>
  <DocSecurity>0</DocSecurity>
  <Lines>53</Lines>
  <Paragraphs>15</Paragraphs>
  <ScaleCrop>false</ScaleCrop>
  <Company>Iowa Dept of Public Defense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lroose</dc:creator>
  <cp:lastModifiedBy>Jonathan Pogones</cp:lastModifiedBy>
  <cp:revision>6</cp:revision>
  <cp:lastPrinted>2016-03-02T16:19:00Z</cp:lastPrinted>
  <dcterms:created xsi:type="dcterms:W3CDTF">2016-03-02T17:14:00Z</dcterms:created>
  <dcterms:modified xsi:type="dcterms:W3CDTF">2020-09-08T19:15:00Z</dcterms:modified>
</cp:coreProperties>
</file>