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6274" w14:textId="77777777" w:rsidR="00CA36D5" w:rsidRPr="00B90A0F" w:rsidRDefault="00CA36D5" w:rsidP="000B0CDD">
      <w:pPr>
        <w:spacing w:before="200" w:after="100" w:line="240" w:lineRule="auto"/>
        <w:outlineLvl w:val="1"/>
        <w:rPr>
          <w:rFonts w:eastAsia="Times New Roman"/>
          <w:smallCaps/>
          <w:sz w:val="20"/>
          <w:szCs w:val="20"/>
        </w:rPr>
      </w:pPr>
      <w:bookmarkStart w:id="0" w:name="_top"/>
      <w:bookmarkEnd w:id="0"/>
      <w:r w:rsidRPr="00B90A0F">
        <w:rPr>
          <w:rFonts w:eastAsia="Times New Roman"/>
          <w:smallCaps/>
          <w:sz w:val="20"/>
          <w:szCs w:val="20"/>
        </w:rPr>
        <w:t>Appendix II to Part 200—Contract Provisions for Non-Federal Entity Contracts Under Federal Awards</w:t>
      </w:r>
    </w:p>
    <w:p w14:paraId="012E0B8F"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In addition to other provisions required by the Federal agency or non-Federal entity, all contracts made by the non-Federal entity under the Federal award must contain provisions covering the following, as applicable.</w:t>
      </w:r>
    </w:p>
    <w:p w14:paraId="5E7E1389" w14:textId="77777777" w:rsidR="008E1FEC"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14:paraId="25C05D84"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(B) All contracts in excess of $10,000 must address termination for cause and for convenience by the non-Federal entity including the manner by which it will be effected and the basis for settlement.</w:t>
      </w:r>
    </w:p>
    <w:p w14:paraId="5FD061B9"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5841EF11"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r w:rsidRPr="00886213">
        <w:rPr>
          <w:rFonts w:eastAsia="Times New Roman"/>
          <w:color w:val="000000" w:themeColor="text1"/>
          <w:sz w:val="20"/>
          <w:szCs w:val="20"/>
        </w:rPr>
        <w:t>.</w:t>
      </w:r>
      <w:r w:rsidR="00542A1E" w:rsidRPr="00886213">
        <w:rPr>
          <w:rFonts w:eastAsia="Times New Roman"/>
          <w:color w:val="000000" w:themeColor="text1"/>
          <w:sz w:val="20"/>
          <w:szCs w:val="20"/>
        </w:rPr>
        <w:t xml:space="preserve"> </w:t>
      </w:r>
      <w:r w:rsidR="00542A1E" w:rsidRPr="00886213">
        <w:rPr>
          <w:rFonts w:eastAsia="Times New Roman"/>
          <w:i/>
          <w:color w:val="000000" w:themeColor="text1"/>
          <w:sz w:val="20"/>
          <w:szCs w:val="20"/>
        </w:rPr>
        <w:t>**</w:t>
      </w:r>
      <w:r w:rsidR="00886213" w:rsidRPr="00886213">
        <w:rPr>
          <w:i/>
          <w:color w:val="000000" w:themeColor="text1"/>
          <w:sz w:val="20"/>
          <w:szCs w:val="20"/>
        </w:rPr>
        <w:t>The Davis-Bacon Act does not apply to pass-through entity (</w:t>
      </w:r>
      <w:proofErr w:type="spellStart"/>
      <w:r w:rsidR="00886213" w:rsidRPr="00886213">
        <w:rPr>
          <w:i/>
          <w:color w:val="000000" w:themeColor="text1"/>
          <w:sz w:val="20"/>
          <w:szCs w:val="20"/>
        </w:rPr>
        <w:t>subapplicants</w:t>
      </w:r>
      <w:proofErr w:type="spellEnd"/>
      <w:r w:rsidR="00886213" w:rsidRPr="00886213">
        <w:rPr>
          <w:i/>
          <w:color w:val="000000" w:themeColor="text1"/>
          <w:sz w:val="20"/>
          <w:szCs w:val="20"/>
        </w:rPr>
        <w:t xml:space="preserve">) contracted work.  However, if paying prevailing wages is included in the entity’s Procurement Policy, it may be </w:t>
      </w:r>
      <w:proofErr w:type="gramStart"/>
      <w:r w:rsidR="00886213" w:rsidRPr="00886213">
        <w:rPr>
          <w:i/>
          <w:color w:val="000000" w:themeColor="text1"/>
          <w:sz w:val="20"/>
          <w:szCs w:val="20"/>
        </w:rPr>
        <w:t>required.</w:t>
      </w:r>
      <w:r w:rsidR="00542A1E" w:rsidRPr="00886213">
        <w:rPr>
          <w:rFonts w:eastAsia="Times New Roman"/>
          <w:i/>
          <w:color w:val="000000" w:themeColor="text1"/>
          <w:sz w:val="20"/>
          <w:szCs w:val="20"/>
        </w:rPr>
        <w:t>*</w:t>
      </w:r>
      <w:proofErr w:type="gramEnd"/>
      <w:r w:rsidR="00542A1E" w:rsidRPr="00886213">
        <w:rPr>
          <w:rFonts w:eastAsia="Times New Roman"/>
          <w:i/>
          <w:color w:val="000000" w:themeColor="text1"/>
          <w:sz w:val="20"/>
          <w:szCs w:val="20"/>
        </w:rPr>
        <w:t>*</w:t>
      </w:r>
    </w:p>
    <w:p w14:paraId="747D387D"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(E) 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2ED0109"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lastRenderedPageBreak/>
        <w:t>(F)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594D5FDB"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(G)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08632723"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(H) 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5EE11446"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 xml:space="preserve">(I)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B90A0F">
        <w:rPr>
          <w:rFonts w:eastAsia="Times New Roman"/>
          <w:sz w:val="20"/>
          <w:szCs w:val="20"/>
        </w:rPr>
        <w:t>tier</w:t>
      </w:r>
      <w:proofErr w:type="spellEnd"/>
      <w:r w:rsidRPr="00B90A0F">
        <w:rPr>
          <w:rFonts w:eastAsia="Times New Roman"/>
          <w:sz w:val="20"/>
          <w:szCs w:val="20"/>
        </w:rPr>
        <w:t xml:space="preserve"> up to the non-Federal award.</w:t>
      </w:r>
    </w:p>
    <w:p w14:paraId="7BD3A1DC" w14:textId="77777777" w:rsidR="00CA36D5" w:rsidRPr="00B90A0F" w:rsidRDefault="00CA36D5" w:rsidP="000B0CDD">
      <w:pPr>
        <w:spacing w:before="100" w:beforeAutospacing="1" w:after="100" w:afterAutospacing="1" w:line="240" w:lineRule="auto"/>
        <w:ind w:firstLine="480"/>
        <w:rPr>
          <w:rFonts w:eastAsia="Times New Roman"/>
          <w:sz w:val="20"/>
          <w:szCs w:val="20"/>
        </w:rPr>
      </w:pPr>
      <w:r w:rsidRPr="00B90A0F">
        <w:rPr>
          <w:rFonts w:eastAsia="Times New Roman"/>
          <w:sz w:val="20"/>
          <w:szCs w:val="20"/>
        </w:rPr>
        <w:t>(J) See §200.322 Procurement of recovered materials.</w:t>
      </w:r>
    </w:p>
    <w:p w14:paraId="00F56C5D" w14:textId="77777777" w:rsidR="00CA36D5" w:rsidRPr="00B90A0F" w:rsidRDefault="00CA36D5" w:rsidP="000B0CDD">
      <w:pPr>
        <w:spacing w:before="200" w:after="100" w:afterAutospacing="1" w:line="240" w:lineRule="auto"/>
        <w:rPr>
          <w:rFonts w:eastAsia="Times New Roman"/>
          <w:sz w:val="20"/>
          <w:szCs w:val="20"/>
        </w:rPr>
      </w:pPr>
      <w:r w:rsidRPr="00B90A0F">
        <w:rPr>
          <w:rFonts w:eastAsia="Times New Roman"/>
          <w:sz w:val="20"/>
          <w:szCs w:val="20"/>
        </w:rPr>
        <w:t>[78 FR 78608, Dec. 26, 2013, as amended at 79 FR 75888, Dec. 19, 2014</w:t>
      </w:r>
    </w:p>
    <w:p w14:paraId="624ACD93" w14:textId="77777777" w:rsidR="00153D36" w:rsidRPr="00B90A0F" w:rsidRDefault="00153D36" w:rsidP="000B0CDD">
      <w:pPr>
        <w:rPr>
          <w:sz w:val="20"/>
          <w:szCs w:val="20"/>
        </w:rPr>
      </w:pPr>
    </w:p>
    <w:sectPr w:rsidR="00153D36" w:rsidRPr="00B90A0F" w:rsidSect="00153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D5"/>
    <w:rsid w:val="00046567"/>
    <w:rsid w:val="000B0CDD"/>
    <w:rsid w:val="00123C79"/>
    <w:rsid w:val="00153D36"/>
    <w:rsid w:val="00210716"/>
    <w:rsid w:val="00404E9F"/>
    <w:rsid w:val="00542A1E"/>
    <w:rsid w:val="00616CDC"/>
    <w:rsid w:val="006B0B38"/>
    <w:rsid w:val="00833582"/>
    <w:rsid w:val="00844251"/>
    <w:rsid w:val="00886213"/>
    <w:rsid w:val="008E1FEC"/>
    <w:rsid w:val="00B3676C"/>
    <w:rsid w:val="00B90A0F"/>
    <w:rsid w:val="00CA36D5"/>
    <w:rsid w:val="00D07849"/>
    <w:rsid w:val="00D13E7D"/>
    <w:rsid w:val="00E65C11"/>
    <w:rsid w:val="00FC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BCC0"/>
  <w15:docId w15:val="{BA0B8C2C-0076-4683-B74F-953B1BEC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36"/>
  </w:style>
  <w:style w:type="paragraph" w:styleId="Heading2">
    <w:name w:val="heading 2"/>
    <w:basedOn w:val="Normal"/>
    <w:link w:val="Heading2Char"/>
    <w:uiPriority w:val="9"/>
    <w:qFormat/>
    <w:rsid w:val="00CA36D5"/>
    <w:pPr>
      <w:spacing w:before="200" w:after="100" w:line="240" w:lineRule="auto"/>
      <w:jc w:val="center"/>
      <w:outlineLvl w:val="1"/>
    </w:pPr>
    <w:rPr>
      <w:rFonts w:eastAsia="Times New Roman"/>
      <w:b/>
      <w:bCs/>
      <w:sz w:val="9"/>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6D5"/>
    <w:rPr>
      <w:rFonts w:eastAsia="Times New Roman"/>
      <w:b/>
      <w:bCs/>
      <w:sz w:val="9"/>
      <w:szCs w:val="9"/>
    </w:rPr>
  </w:style>
  <w:style w:type="paragraph" w:styleId="NormalWeb">
    <w:name w:val="Normal (Web)"/>
    <w:basedOn w:val="Normal"/>
    <w:uiPriority w:val="99"/>
    <w:semiHidden/>
    <w:unhideWhenUsed/>
    <w:rsid w:val="00CA36D5"/>
    <w:pPr>
      <w:spacing w:before="100" w:beforeAutospacing="1" w:after="100" w:afterAutospacing="1" w:line="240" w:lineRule="auto"/>
      <w:ind w:firstLine="480"/>
    </w:pPr>
    <w:rPr>
      <w:rFonts w:eastAsia="Times New Roman"/>
      <w:sz w:val="24"/>
      <w:szCs w:val="24"/>
    </w:rPr>
  </w:style>
  <w:style w:type="paragraph" w:customStyle="1" w:styleId="cita">
    <w:name w:val="cita"/>
    <w:basedOn w:val="Normal"/>
    <w:rsid w:val="00CA36D5"/>
    <w:pPr>
      <w:spacing w:before="200" w:after="100" w:afterAutospacing="1" w:line="240" w:lineRule="auto"/>
    </w:pPr>
    <w:rPr>
      <w:rFonts w:eastAsia="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850497">
      <w:bodyDiv w:val="1"/>
      <w:marLeft w:val="0"/>
      <w:marRight w:val="0"/>
      <w:marTop w:val="14"/>
      <w:marBottom w:val="343"/>
      <w:divBdr>
        <w:top w:val="none" w:sz="0" w:space="0" w:color="auto"/>
        <w:left w:val="none" w:sz="0" w:space="0" w:color="auto"/>
        <w:bottom w:val="none" w:sz="0" w:space="0" w:color="auto"/>
        <w:right w:val="none" w:sz="0" w:space="0" w:color="auto"/>
      </w:divBdr>
      <w:divsChild>
        <w:div w:id="66513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6468</Characters>
  <Application>Microsoft Office Word</Application>
  <DocSecurity>0</DocSecurity>
  <Lines>53</Lines>
  <Paragraphs>15</Paragraphs>
  <ScaleCrop>false</ScaleCrop>
  <Company>Iowa Dept of Public Defense</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lroose</dc:creator>
  <cp:lastModifiedBy>Molly Halverson</cp:lastModifiedBy>
  <cp:revision>2</cp:revision>
  <cp:lastPrinted>2016-03-02T16:19:00Z</cp:lastPrinted>
  <dcterms:created xsi:type="dcterms:W3CDTF">2024-05-19T21:00:00Z</dcterms:created>
  <dcterms:modified xsi:type="dcterms:W3CDTF">2024-05-19T21:00:00Z</dcterms:modified>
</cp:coreProperties>
</file>